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F4C755">
      <w:pPr>
        <w:spacing w:line="560" w:lineRule="exact"/>
        <w:ind w:firstLine="640" w:firstLineChars="200"/>
        <w:jc w:val="left"/>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rPr>
        <w:t>平顶山市第一人民医院CT、磁共振设备维保项目</w:t>
      </w:r>
    </w:p>
    <w:p w14:paraId="2BBF45ED">
      <w:pPr>
        <w:spacing w:line="560" w:lineRule="exact"/>
        <w:jc w:val="center"/>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rPr>
        <w:t>(包1)</w:t>
      </w:r>
    </w:p>
    <w:p w14:paraId="6C482154">
      <w:pPr>
        <w:spacing w:line="560" w:lineRule="exact"/>
        <w:ind w:firstLine="640" w:firstLineChars="200"/>
        <w:jc w:val="left"/>
        <w:rPr>
          <w:rFonts w:hint="eastAsia" w:ascii="宋体" w:hAnsi="宋体" w:eastAsia="宋体" w:cs="宋体"/>
          <w:color w:val="auto"/>
          <w:sz w:val="32"/>
          <w:szCs w:val="32"/>
        </w:rPr>
      </w:pPr>
    </w:p>
    <w:p w14:paraId="24C9BA78">
      <w:pPr>
        <w:spacing w:line="560" w:lineRule="exact"/>
        <w:ind w:firstLine="640" w:firstLineChars="200"/>
        <w:jc w:val="left"/>
        <w:rPr>
          <w:rFonts w:hint="eastAsia" w:ascii="宋体" w:hAnsi="宋体" w:eastAsia="宋体" w:cs="宋体"/>
          <w:color w:val="auto"/>
          <w:sz w:val="32"/>
          <w:szCs w:val="32"/>
        </w:rPr>
      </w:pPr>
      <w:r>
        <w:rPr>
          <w:rFonts w:hint="eastAsia" w:ascii="宋体" w:hAnsi="宋体" w:eastAsia="宋体" w:cs="宋体"/>
          <w:color w:val="auto"/>
          <w:sz w:val="32"/>
          <w:szCs w:val="32"/>
        </w:rPr>
        <w:t>（一）项目概况</w:t>
      </w:r>
    </w:p>
    <w:p w14:paraId="437C90AE">
      <w:pPr>
        <w:spacing w:line="560" w:lineRule="exact"/>
        <w:ind w:firstLine="640" w:firstLineChars="200"/>
        <w:jc w:val="left"/>
        <w:rPr>
          <w:rFonts w:hint="eastAsia" w:ascii="宋体" w:hAnsi="宋体" w:eastAsia="宋体" w:cs="宋体"/>
          <w:color w:val="auto"/>
          <w:sz w:val="32"/>
          <w:szCs w:val="32"/>
          <w:u w:val="single"/>
        </w:rPr>
      </w:pPr>
      <w:r>
        <w:rPr>
          <w:rFonts w:hint="eastAsia" w:ascii="宋体" w:hAnsi="宋体" w:eastAsia="宋体" w:cs="宋体"/>
          <w:color w:val="auto"/>
          <w:sz w:val="32"/>
          <w:szCs w:val="32"/>
          <w:u w:val="single"/>
        </w:rPr>
        <w:t>采购需求：（包括但不限于标的的名称、数量、简要技术需求或服务要求等）</w:t>
      </w:r>
    </w:p>
    <w:p w14:paraId="418CC187">
      <w:pPr>
        <w:spacing w:line="560" w:lineRule="exact"/>
        <w:ind w:firstLine="640" w:firstLineChars="200"/>
        <w:jc w:val="left"/>
        <w:rPr>
          <w:rFonts w:hint="eastAsia" w:ascii="宋体" w:hAnsi="宋体" w:eastAsia="宋体" w:cs="宋体"/>
          <w:color w:val="auto"/>
          <w:sz w:val="32"/>
          <w:szCs w:val="32"/>
          <w:u w:val="single"/>
          <w:lang w:val="en-US" w:eastAsia="zh-CN"/>
        </w:rPr>
      </w:pPr>
      <w:r>
        <w:rPr>
          <w:rFonts w:hint="eastAsia" w:ascii="宋体" w:hAnsi="宋体" w:eastAsia="宋体" w:cs="宋体"/>
          <w:color w:val="auto"/>
          <w:sz w:val="32"/>
          <w:szCs w:val="32"/>
          <w:u w:val="single"/>
        </w:rPr>
        <w:t>1</w:t>
      </w:r>
      <w:r>
        <w:rPr>
          <w:rFonts w:hint="eastAsia" w:ascii="宋体" w:hAnsi="宋体" w:eastAsia="宋体" w:cs="宋体"/>
          <w:color w:val="auto"/>
          <w:sz w:val="32"/>
          <w:szCs w:val="32"/>
          <w:u w:val="single"/>
          <w:lang w:val="en-US" w:eastAsia="zh-CN"/>
        </w:rPr>
        <w:t>、</w:t>
      </w:r>
      <w:r>
        <w:rPr>
          <w:rFonts w:hint="eastAsia" w:ascii="宋体" w:hAnsi="宋体" w:eastAsia="宋体" w:cs="宋体"/>
          <w:color w:val="auto"/>
          <w:sz w:val="32"/>
          <w:szCs w:val="32"/>
          <w:u w:val="single"/>
        </w:rPr>
        <w:t>采购内容：</w:t>
      </w:r>
      <w:r>
        <w:rPr>
          <w:rFonts w:hint="eastAsia" w:ascii="宋体" w:hAnsi="宋体" w:eastAsia="宋体" w:cs="宋体"/>
          <w:color w:val="auto"/>
          <w:sz w:val="32"/>
          <w:szCs w:val="32"/>
          <w:u w:val="single"/>
          <w:lang w:val="en-US" w:eastAsia="zh-CN"/>
        </w:rPr>
        <w:t>优越路院区Brilliance iCT(256排CT)1台，整机保修3年。优越路院区MX16CT1台，整机保修3年</w:t>
      </w:r>
    </w:p>
    <w:p w14:paraId="6917A4F6">
      <w:pPr>
        <w:spacing w:line="560" w:lineRule="exact"/>
        <w:ind w:firstLine="640" w:firstLineChars="200"/>
        <w:jc w:val="left"/>
        <w:rPr>
          <w:rFonts w:hint="eastAsia" w:ascii="宋体" w:hAnsi="宋体" w:eastAsia="宋体" w:cs="宋体"/>
          <w:color w:val="auto"/>
          <w:sz w:val="32"/>
          <w:szCs w:val="32"/>
          <w:u w:val="single"/>
          <w:lang w:val="en-US" w:eastAsia="zh-CN"/>
        </w:rPr>
      </w:pPr>
      <w:r>
        <w:rPr>
          <w:rFonts w:hint="eastAsia" w:ascii="宋体" w:hAnsi="宋体" w:eastAsia="宋体" w:cs="宋体"/>
          <w:color w:val="auto"/>
          <w:sz w:val="32"/>
          <w:szCs w:val="32"/>
          <w:u w:val="single"/>
          <w:lang w:val="en-US" w:eastAsia="zh-CN"/>
        </w:rPr>
        <w:t>2、资金来源：自筹</w:t>
      </w:r>
    </w:p>
    <w:p w14:paraId="2D6CE93F">
      <w:pPr>
        <w:spacing w:line="560" w:lineRule="exact"/>
        <w:ind w:firstLine="640" w:firstLineChars="200"/>
        <w:jc w:val="left"/>
        <w:rPr>
          <w:rFonts w:hint="eastAsia" w:ascii="宋体" w:hAnsi="宋体" w:eastAsia="宋体" w:cs="宋体"/>
          <w:color w:val="auto"/>
          <w:sz w:val="32"/>
          <w:szCs w:val="32"/>
          <w:u w:val="single"/>
          <w:lang w:val="en-US" w:eastAsia="zh-CN"/>
        </w:rPr>
      </w:pPr>
      <w:r>
        <w:rPr>
          <w:rFonts w:hint="eastAsia" w:ascii="宋体" w:hAnsi="宋体" w:eastAsia="宋体" w:cs="宋体"/>
          <w:color w:val="auto"/>
          <w:sz w:val="32"/>
          <w:szCs w:val="32"/>
          <w:u w:val="single"/>
          <w:lang w:val="en-US" w:eastAsia="zh-CN"/>
        </w:rPr>
        <w:t>3、交货（服务）地点：优越路院区</w:t>
      </w:r>
    </w:p>
    <w:p w14:paraId="025B4AA6">
      <w:pPr>
        <w:spacing w:line="560" w:lineRule="exact"/>
        <w:ind w:firstLine="640" w:firstLineChars="200"/>
        <w:jc w:val="left"/>
        <w:rPr>
          <w:rFonts w:hint="eastAsia" w:ascii="宋体" w:hAnsi="宋体" w:eastAsia="宋体" w:cs="宋体"/>
          <w:color w:val="auto"/>
          <w:sz w:val="32"/>
          <w:szCs w:val="32"/>
          <w:u w:val="single"/>
          <w:lang w:val="en-US" w:eastAsia="zh-CN"/>
        </w:rPr>
      </w:pPr>
      <w:r>
        <w:rPr>
          <w:rFonts w:hint="eastAsia" w:ascii="宋体" w:hAnsi="宋体" w:eastAsia="宋体" w:cs="宋体"/>
          <w:color w:val="auto"/>
          <w:sz w:val="32"/>
          <w:szCs w:val="32"/>
          <w:u w:val="single"/>
          <w:lang w:val="en-US" w:eastAsia="zh-CN"/>
        </w:rPr>
        <w:t>4、交货（服务）期限：以合同签订日期为起始日，</w:t>
      </w:r>
      <w:bookmarkStart w:id="0" w:name="_GoBack"/>
      <w:r>
        <w:rPr>
          <w:rFonts w:hint="eastAsia" w:ascii="宋体" w:hAnsi="宋体" w:eastAsia="宋体" w:cs="宋体"/>
          <w:color w:val="auto"/>
          <w:sz w:val="32"/>
          <w:szCs w:val="32"/>
          <w:highlight w:val="yellow"/>
          <w:u w:val="single"/>
          <w:lang w:val="en-US" w:eastAsia="zh-CN"/>
        </w:rPr>
        <w:t>3年</w:t>
      </w:r>
      <w:bookmarkEnd w:id="0"/>
      <w:r>
        <w:rPr>
          <w:rFonts w:hint="eastAsia" w:ascii="宋体" w:hAnsi="宋体" w:eastAsia="宋体" w:cs="宋体"/>
          <w:color w:val="auto"/>
          <w:sz w:val="32"/>
          <w:szCs w:val="32"/>
          <w:u w:val="single"/>
          <w:lang w:val="en-US" w:eastAsia="zh-CN"/>
        </w:rPr>
        <w:t>。</w:t>
      </w:r>
    </w:p>
    <w:p w14:paraId="74272E70">
      <w:pPr>
        <w:spacing w:line="560" w:lineRule="exact"/>
        <w:ind w:firstLine="640" w:firstLineChars="200"/>
        <w:jc w:val="left"/>
        <w:rPr>
          <w:rFonts w:hint="eastAsia" w:ascii="宋体" w:hAnsi="宋体" w:eastAsia="宋体" w:cs="宋体"/>
          <w:color w:val="auto"/>
          <w:sz w:val="32"/>
          <w:szCs w:val="32"/>
          <w:u w:val="single"/>
          <w:lang w:val="en-US" w:eastAsia="zh-CN"/>
        </w:rPr>
      </w:pPr>
      <w:r>
        <w:rPr>
          <w:rFonts w:hint="eastAsia" w:ascii="宋体" w:hAnsi="宋体" w:eastAsia="宋体" w:cs="宋体"/>
          <w:color w:val="auto"/>
          <w:sz w:val="32"/>
          <w:szCs w:val="32"/>
          <w:u w:val="single"/>
          <w:lang w:val="en-US" w:eastAsia="zh-CN"/>
        </w:rPr>
        <w:t>5、质保期：3年</w:t>
      </w:r>
    </w:p>
    <w:p w14:paraId="3EA9E7E3">
      <w:pPr>
        <w:spacing w:line="560" w:lineRule="exact"/>
        <w:ind w:firstLine="640" w:firstLineChars="200"/>
        <w:jc w:val="left"/>
        <w:rPr>
          <w:rFonts w:hint="eastAsia" w:ascii="宋体" w:hAnsi="宋体" w:eastAsia="宋体" w:cs="宋体"/>
          <w:color w:val="auto"/>
          <w:sz w:val="32"/>
          <w:szCs w:val="32"/>
          <w:u w:val="single"/>
          <w:lang w:val="en-US" w:eastAsia="zh-CN"/>
        </w:rPr>
      </w:pPr>
      <w:r>
        <w:rPr>
          <w:rFonts w:hint="eastAsia" w:ascii="宋体" w:hAnsi="宋体" w:eastAsia="宋体" w:cs="宋体"/>
          <w:color w:val="auto"/>
          <w:sz w:val="32"/>
          <w:szCs w:val="32"/>
          <w:u w:val="single"/>
          <w:lang w:val="en-US" w:eastAsia="zh-CN"/>
        </w:rPr>
        <w:t>6、质量要求（服务要求）：质量验收时按国家现行有关标准和乙方投标时所承诺技术标准执行。</w:t>
      </w:r>
    </w:p>
    <w:p w14:paraId="4E5A6DD2">
      <w:pPr>
        <w:rPr>
          <w:rFonts w:hint="eastAsia" w:ascii="宋体" w:hAnsi="宋体" w:eastAsia="宋体" w:cs="宋体"/>
          <w:color w:val="auto"/>
          <w:sz w:val="32"/>
          <w:szCs w:val="32"/>
          <w:lang w:eastAsia="zh-CN"/>
        </w:rPr>
      </w:pPr>
      <w:r>
        <w:rPr>
          <w:rFonts w:hint="eastAsia" w:ascii="宋体" w:hAnsi="宋体" w:eastAsia="宋体" w:cs="宋体"/>
          <w:color w:val="auto"/>
          <w:sz w:val="32"/>
          <w:szCs w:val="32"/>
          <w:lang w:eastAsia="zh-CN"/>
        </w:rPr>
        <w:t>（</w:t>
      </w:r>
      <w:r>
        <w:rPr>
          <w:rFonts w:hint="eastAsia" w:ascii="宋体" w:hAnsi="宋体" w:eastAsia="宋体" w:cs="宋体"/>
          <w:color w:val="auto"/>
          <w:sz w:val="32"/>
          <w:szCs w:val="32"/>
          <w:lang w:val="en-US" w:eastAsia="zh-CN"/>
        </w:rPr>
        <w:t>二</w:t>
      </w:r>
      <w:r>
        <w:rPr>
          <w:rFonts w:hint="eastAsia" w:ascii="宋体" w:hAnsi="宋体" w:eastAsia="宋体" w:cs="宋体"/>
          <w:color w:val="auto"/>
          <w:sz w:val="32"/>
          <w:szCs w:val="32"/>
          <w:lang w:eastAsia="zh-CN"/>
        </w:rPr>
        <w:t>）</w:t>
      </w:r>
      <w:r>
        <w:rPr>
          <w:rFonts w:hint="eastAsia" w:ascii="宋体" w:hAnsi="宋体" w:eastAsia="宋体" w:cs="宋体"/>
          <w:color w:val="auto"/>
          <w:sz w:val="32"/>
          <w:szCs w:val="32"/>
          <w:lang w:val="en-US" w:eastAsia="zh-CN"/>
        </w:rPr>
        <w:t>服务</w:t>
      </w:r>
      <w:r>
        <w:rPr>
          <w:rFonts w:hint="eastAsia" w:ascii="宋体" w:hAnsi="宋体" w:eastAsia="宋体" w:cs="宋体"/>
          <w:color w:val="auto"/>
          <w:sz w:val="32"/>
          <w:szCs w:val="32"/>
          <w:lang w:eastAsia="zh-CN"/>
        </w:rPr>
        <w:t>内容及要求</w:t>
      </w:r>
    </w:p>
    <w:p w14:paraId="4CB315E3">
      <w:pPr>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rPr>
        <w:t>1、服务内容及技术服务要求</w:t>
      </w:r>
    </w:p>
    <w:p w14:paraId="1C59D3A4">
      <w:pPr>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rPr>
        <w:t>（一）服务内容</w:t>
      </w:r>
    </w:p>
    <w:p w14:paraId="2C506B34">
      <w:pPr>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rPr>
        <w:t>1、保修服务项目：飞利浦Brilliance iCT、飞利浦MX16 CT共计二台设备整机全生命周期维保服务三年。</w:t>
      </w:r>
    </w:p>
    <w:p w14:paraId="3F1B413B">
      <w:pPr>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rPr>
        <w:t>2、保修类型及开机率：</w:t>
      </w:r>
    </w:p>
    <w:p w14:paraId="5B12901A">
      <w:pPr>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rPr>
        <w:t>1）保修类型：整机全保，含球管、探测器及第三方设备（高压注射器）等，包含维修、维护保养、巡检、升级等，保证保修服务期间液氦量始终处于正常状态，维修不限次数；定期的安全检查、图像校正和专业预防性保养及所需的消耗品，保证设备的最佳运行状态。</w:t>
      </w:r>
    </w:p>
    <w:p w14:paraId="2D33CC1D">
      <w:pPr>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rPr>
        <w:t>2）保证95%的开机率；提供远程诊断服务；提供免费安全升级至件新最软版本软件。</w:t>
      </w:r>
    </w:p>
    <w:p w14:paraId="2D85A064">
      <w:pPr>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rPr>
        <w:t>（二）技术服务要求：</w:t>
      </w:r>
    </w:p>
    <w:p w14:paraId="43CB16EC">
      <w:pPr>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rPr>
        <w:t>1、保修类型：整机全保，包含主机、球管、探测器、工作站、主机 UPS 电源等，包含维修、维护保养、巡检、升级等。</w:t>
      </w:r>
    </w:p>
    <w:p w14:paraId="6395CF1C">
      <w:pPr>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rPr>
        <w:t>2、保修时间：自签订合同日起3年。</w:t>
      </w:r>
    </w:p>
    <w:p w14:paraId="58112E0B">
      <w:pPr>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rPr>
        <w:t>3、服务期限内，每年投标方须严格按照原厂保养手册进行保养，每年每台设备至少提供4次设备维护保养，保养开始前提交保养计划，明确保养时间及项目，保养完成后由医院管理部门、使用科室、供应商三方签字确认。包含但不限于如下项目：设备清洁、性能测试及校准、必要的电气环境检测等，使之保持原厂QC标准或国家质量监督部门的标准，并提供保养清单以及详细的保养报告；</w:t>
      </w:r>
    </w:p>
    <w:p w14:paraId="5128E4EE">
      <w:pPr>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rPr>
        <w:t>4、响应时间：7*24小时，包含法定节假日；20分钟内电话响应，并通知医学装备部工程师到达时间，24小时内工程师到达现场，一般故障24小时内维修完毕。如需特殊复杂故障或进口备件，故障修复时间不超过72小时；服务期限内，投标方须提供不限次维修服务，每次服务完成后，服务报告应由临床科室和医学装备部、供应商共同签字确认。</w:t>
      </w:r>
    </w:p>
    <w:p w14:paraId="5ABCDCFA">
      <w:pPr>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rPr>
        <w:t>5、合同期内设备开机率：≥95%，一年以365天计算，并由投标方出具书面承诺书；如果开机率由于投标方的原因未能达到，对于开机率低于95%的每一个百分点，服务合同期限将相应延长7个日历天。</w:t>
      </w:r>
    </w:p>
    <w:p w14:paraId="72987F80">
      <w:pPr>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rPr>
        <w:t>6、人员要求、备件库、类似业绩：有专业维修工程师团队，至少3名（需提供身份证、社保、资质证书等证明信息），有专设的电气环境保障团队和设备，检测包括但不限于电网质量、电磁干扰、环境腐蚀气体与震动等。合同签订时提供团队人员姓名、仪器资料、检测报告作证明；要求投标方设有备件库（需提供房产证或租赁合同、备件库详细地址、备件库图片等证明文件）投标人必须书面承诺，维修中所更换的备件为原厂认证合格的全新零配件；提供投标人或投标产品自 2022年1月1日以来具有类似项目业绩或全院医疗设备维修托管案例(需提供合同扫描件，时间以合同签订时间为准）。</w:t>
      </w:r>
    </w:p>
    <w:p w14:paraId="6A2F8770">
      <w:pPr>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rPr>
        <w:t>7、维修时直接更换原厂全新备件，不对备件做修补性维修；更换球管、探测器等重要部件后，投标人负责安排河南省计量科学研究院进行强制计量检测后出具合格证书，并承担相关检测费用，检测报告交医学装备管理部门及使用科室留存；进口配件需提供海关报关单等材料，提供备件库内现有进口备件相关文件作为证明材料。</w:t>
      </w:r>
    </w:p>
    <w:p w14:paraId="6BAABBA6">
      <w:pPr>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rPr>
        <w:t>8、根据要求，每三个月提供1份服务总结报告并装订整理成册，至少包含维保、维修、巡检等所有服务项目次数和具体内容，配件更换明细（含名称、规格、型号、数量、单价，金额）等。</w:t>
      </w:r>
    </w:p>
    <w:p w14:paraId="1C3A54A7">
      <w:pPr>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rPr>
        <w:t>9、如果在服务期内，涉及的设备拆机或停止使用，则该维修服务将从该设备停用并不再需要维修之日起自动终止，并按照合同履行截止时间支付合同款。10、工程师须具备专业维修工具、静电防护工具、MR性能检测工具及相应安全防护用品，保证服务过程的安全性，包括但不限于IQ检测工具组、电气安全测试仪等，提供证明材料。需具备全套原厂诊断工具（软件、硬件），设备维修必须的拆装机工具、电路诊断、数据诊断工具，以解决相应故障，保证服务过程的安全性,提供相关设备维修保养需使用的特殊精密专业工具列表及检定证书。</w:t>
      </w:r>
    </w:p>
    <w:p w14:paraId="0420C59C">
      <w:pPr>
        <w:rPr>
          <w:rFonts w:hint="eastAsia" w:ascii="宋体" w:hAnsi="宋体" w:eastAsia="宋体" w:cs="宋体"/>
        </w:rPr>
      </w:pPr>
    </w:p>
    <w:p w14:paraId="352E6038">
      <w:pPr>
        <w:widowControl w:val="0"/>
        <w:numPr>
          <w:ilvl w:val="0"/>
          <w:numId w:val="0"/>
        </w:numPr>
        <w:bidi w:val="0"/>
        <w:spacing w:line="560" w:lineRule="exact"/>
        <w:ind w:leftChars="200"/>
        <w:jc w:val="left"/>
        <w:rPr>
          <w:rFonts w:hint="eastAsia" w:ascii="宋体" w:hAnsi="宋体" w:eastAsia="宋体" w:cs="宋体"/>
          <w:color w:val="auto"/>
          <w:sz w:val="32"/>
          <w:szCs w:val="32"/>
          <w:lang w:val="en-US"/>
        </w:rPr>
      </w:pPr>
    </w:p>
    <w:p w14:paraId="2B4A93F8">
      <w:pPr>
        <w:rPr>
          <w:rFonts w:hint="eastAsia" w:ascii="宋体" w:hAnsi="宋体" w:eastAsia="宋体" w:cs="宋体"/>
        </w:rPr>
      </w:pPr>
    </w:p>
    <w:p w14:paraId="6B698784">
      <w:pPr>
        <w:rPr>
          <w:rFonts w:hint="eastAsia" w:ascii="宋体" w:hAnsi="宋体" w:eastAsia="宋体" w:cs="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156571"/>
    <w:rsid w:val="0D600EE6"/>
    <w:rsid w:val="23FE7D27"/>
    <w:rsid w:val="28967FA1"/>
    <w:rsid w:val="3B9A4359"/>
    <w:rsid w:val="477F5B3A"/>
    <w:rsid w:val="511565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qFormat="1" w:uiPriority="99"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2" w:lineRule="auto"/>
      <w:outlineLvl w:val="1"/>
    </w:pPr>
    <w:rPr>
      <w:rFonts w:ascii="Arial" w:hAnsi="Arial" w:eastAsia="黑体"/>
      <w:b/>
      <w:bCs/>
      <w:kern w:val="0"/>
      <w:sz w:val="32"/>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spacing w:after="120" w:afterLines="0" w:line="480" w:lineRule="auto"/>
      <w:ind w:left="420" w:leftChars="200"/>
    </w:pPr>
  </w:style>
  <w:style w:type="paragraph" w:styleId="4">
    <w:name w:val="Normal Indent"/>
    <w:basedOn w:val="1"/>
    <w:next w:val="5"/>
    <w:unhideWhenUsed/>
    <w:qFormat/>
    <w:uiPriority w:val="99"/>
    <w:pPr>
      <w:ind w:firstLine="420"/>
    </w:pPr>
  </w:style>
  <w:style w:type="paragraph" w:styleId="5">
    <w:name w:val="Body Text 2"/>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6">
    <w:name w:val="Body Text Indent"/>
    <w:basedOn w:val="1"/>
    <w:next w:val="1"/>
    <w:unhideWhenUsed/>
    <w:qFormat/>
    <w:uiPriority w:val="99"/>
    <w:pPr>
      <w:spacing w:after="120"/>
      <w:ind w:left="200" w:leftChars="200"/>
    </w:pPr>
    <w:rPr>
      <w:kern w:val="0"/>
      <w:sz w:val="20"/>
      <w:szCs w:val="24"/>
    </w:rPr>
  </w:style>
  <w:style w:type="paragraph" w:styleId="7">
    <w:name w:val="Body Text First Indent 2"/>
    <w:basedOn w:val="6"/>
    <w:next w:val="4"/>
    <w:qFormat/>
    <w:uiPriority w:val="99"/>
    <w:pPr>
      <w:ind w:left="420" w:firstLine="420" w:firstLineChars="200"/>
    </w:pPr>
    <w:rPr>
      <w:rFonts w:eastAsia="宋体" w:cs="Times New Roman"/>
      <w:kern w:val="2"/>
      <w:sz w:val="21"/>
      <w:szCs w:val="22"/>
    </w:rPr>
  </w:style>
  <w:style w:type="paragraph" w:styleId="10">
    <w:name w:val="List Paragraph"/>
    <w:basedOn w:val="1"/>
    <w:qFormat/>
    <w:uiPriority w:val="0"/>
    <w:pPr>
      <w:ind w:firstLine="200" w:firstLineChars="200"/>
    </w:pPr>
    <w:rPr>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1660</Words>
  <Characters>1725</Characters>
  <Lines>0</Lines>
  <Paragraphs>0</Paragraphs>
  <TotalTime>0</TotalTime>
  <ScaleCrop>false</ScaleCrop>
  <LinksUpToDate>false</LinksUpToDate>
  <CharactersWithSpaces>1731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2025-06-12T02:04:00Z</dcterms:created>
  <dc:creator>89625</dc:creator>
  <cp:lastModifiedBy>ZZ</cp:lastModifiedBy>
  <dcterms:modified xsi:type="dcterms:W3CDTF">2025-06-12T11:04:21Z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42B63D2201394917AE36C83FEE309647_11</vt:lpwstr>
  </property>
  <property fmtid="{D5CDD505-2E9C-101B-9397-08002B2CF9AE}" pid="4" name="KSOTemplateDocerSaveRecord">
    <vt:lpwstr>eyJoZGlkIjoiMmNlODE0Yzc0YWNmOTJmNDkwYjZmNzcwOTA4ODI1ZGYiLCJ1c2VySWQiOiI0MTk5MTQ2NTEifQ==</vt:lpwstr>
  </property>
</Properties>
</file>